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E3" w:rsidRDefault="00810DE3" w:rsidP="00810DE3">
      <w:pPr>
        <w:shd w:val="clear" w:color="auto" w:fill="FCF3EC"/>
        <w:spacing w:before="150" w:after="150" w:line="240" w:lineRule="atLeast"/>
        <w:outlineLvl w:val="1"/>
        <w:rPr>
          <w:rFonts w:ascii="Georgia" w:eastAsia="Times New Roman" w:hAnsi="Georgia" w:cs="Times New Roman"/>
          <w:color w:val="660033"/>
          <w:sz w:val="36"/>
          <w:szCs w:val="36"/>
        </w:rPr>
      </w:pPr>
      <w:r w:rsidRPr="00810DE3">
        <w:rPr>
          <w:rFonts w:ascii="Georgia" w:eastAsia="Times New Roman" w:hAnsi="Georgia" w:cs="Times New Roman"/>
          <w:color w:val="660033"/>
          <w:sz w:val="36"/>
          <w:szCs w:val="36"/>
        </w:rPr>
        <w:t>Senescence in adipose-derived stem cells and its implications in nerve regeneration</w:t>
      </w:r>
    </w:p>
    <w:p w:rsidR="00810DE3" w:rsidRPr="00810DE3" w:rsidRDefault="00810DE3" w:rsidP="00810DE3">
      <w:pPr>
        <w:shd w:val="clear" w:color="auto" w:fill="FCF3EC"/>
        <w:spacing w:before="150" w:after="150" w:line="240" w:lineRule="atLeast"/>
        <w:outlineLvl w:val="1"/>
        <w:rPr>
          <w:rFonts w:ascii="Georgia" w:eastAsia="Times New Roman" w:hAnsi="Georgia" w:cs="Times New Roman"/>
          <w:color w:val="660033"/>
          <w:sz w:val="36"/>
          <w:szCs w:val="36"/>
        </w:rPr>
      </w:pPr>
    </w:p>
    <w:p w:rsidR="007442AA" w:rsidRPr="000F1ABF" w:rsidRDefault="00810DE3" w:rsidP="00810DE3">
      <w:pPr>
        <w:pStyle w:val="Heading2"/>
        <w:shd w:val="clear" w:color="auto" w:fill="FCF3EC"/>
        <w:spacing w:before="150" w:beforeAutospacing="0" w:after="150" w:afterAutospacing="0" w:line="240" w:lineRule="atLeast"/>
        <w:rPr>
          <w:rFonts w:ascii="Georgia" w:hAnsi="Georgia"/>
          <w:noProof/>
          <w:color w:val="4B2B18"/>
          <w:sz w:val="20"/>
          <w:szCs w:val="20"/>
          <w:shd w:val="clear" w:color="auto" w:fill="FCF3EC"/>
          <w:lang/>
        </w:rPr>
      </w:pPr>
      <w:r w:rsidRPr="000F1ABF">
        <w:rPr>
          <w:rFonts w:ascii="Georgia" w:hAnsi="Georgia"/>
          <w:noProof/>
          <w:color w:val="4B2B18"/>
          <w:sz w:val="20"/>
          <w:szCs w:val="20"/>
          <w:shd w:val="clear" w:color="auto" w:fill="FCF3EC"/>
          <w:lang/>
        </w:rPr>
        <w:t>Adult mesenchymal stem cells, specifically adipose-derived stem cells have self-renewal and multiple differentiation potentials and have shown to be the ideal candidate for therapeutic applications in regenerative</w:t>
      </w:r>
      <w:r w:rsidRPr="000F1ABF">
        <w:rPr>
          <w:rStyle w:val="apple-converted-space"/>
          <w:rFonts w:ascii="Georgia" w:hAnsi="Georgia"/>
          <w:noProof/>
          <w:color w:val="4B2B18"/>
          <w:sz w:val="20"/>
          <w:szCs w:val="20"/>
          <w:shd w:val="clear" w:color="auto" w:fill="FCF3EC"/>
          <w:lang/>
        </w:rPr>
        <w:t> </w:t>
      </w:r>
      <w:r w:rsidRPr="000F1ABF">
        <w:rPr>
          <w:rStyle w:val="ilad"/>
          <w:rFonts w:ascii="Georgia" w:hAnsi="Georgia"/>
          <w:noProof/>
          <w:sz w:val="20"/>
          <w:szCs w:val="20"/>
          <w:shd w:val="clear" w:color="auto" w:fill="FCF3EC"/>
          <w:lang/>
        </w:rPr>
        <w:t>medicine</w:t>
      </w:r>
      <w:r w:rsidRPr="000F1ABF">
        <w:rPr>
          <w:rFonts w:ascii="Georgia" w:hAnsi="Georgia"/>
          <w:noProof/>
          <w:color w:val="4B2B18"/>
          <w:sz w:val="20"/>
          <w:szCs w:val="20"/>
          <w:shd w:val="clear" w:color="auto" w:fill="FCF3EC"/>
          <w:lang/>
        </w:rPr>
        <w:t>, particularly in peripheral nerve</w:t>
      </w:r>
      <w:r w:rsidRPr="000F1ABF">
        <w:rPr>
          <w:rStyle w:val="apple-converted-space"/>
          <w:rFonts w:ascii="Georgia" w:hAnsi="Georgia"/>
          <w:noProof/>
          <w:color w:val="4B2B18"/>
          <w:sz w:val="20"/>
          <w:szCs w:val="20"/>
          <w:shd w:val="clear" w:color="auto" w:fill="FCF3EC"/>
          <w:lang/>
        </w:rPr>
        <w:t> </w:t>
      </w:r>
      <w:r w:rsidRPr="000F1ABF">
        <w:rPr>
          <w:rStyle w:val="ilad"/>
          <w:rFonts w:ascii="Georgia" w:hAnsi="Georgia"/>
          <w:noProof/>
          <w:sz w:val="20"/>
          <w:szCs w:val="20"/>
          <w:shd w:val="clear" w:color="auto" w:fill="FCF3EC"/>
          <w:lang/>
        </w:rPr>
        <w:t>regeneration</w:t>
      </w:r>
      <w:r w:rsidRPr="000F1ABF">
        <w:rPr>
          <w:rFonts w:ascii="Georgia" w:hAnsi="Georgia"/>
          <w:noProof/>
          <w:color w:val="4B2B18"/>
          <w:sz w:val="20"/>
          <w:szCs w:val="20"/>
          <w:shd w:val="clear" w:color="auto" w:fill="FCF3EC"/>
          <w:lang/>
        </w:rPr>
        <w:t>. Adipose-derived stem cells are easily harvested, although they may show the effects of aging, hence their potential in nerve repair may be limited by cellular senescence or donor age. Cellular senescence is a complex process whereby stem cells grow old as consequence of intrinsic events (e.g., DNA damage) or environmental cues (e.g., stressful stimuli or diseases), which determine a permanent growth arrest. Prof. Magnaghi and his team from University of Milan in Italy reported some of the most important factors modulating the senescence process, which can influence adipose-derived stem cell</w:t>
      </w:r>
      <w:r w:rsidRPr="000F1ABF">
        <w:rPr>
          <w:rStyle w:val="apple-converted-space"/>
          <w:rFonts w:ascii="Georgia" w:hAnsi="Georgia"/>
          <w:noProof/>
          <w:color w:val="4B2B18"/>
          <w:sz w:val="20"/>
          <w:szCs w:val="20"/>
          <w:shd w:val="clear" w:color="auto" w:fill="FCF3EC"/>
          <w:lang/>
        </w:rPr>
        <w:t> </w:t>
      </w:r>
      <w:r w:rsidRPr="000F1ABF">
        <w:rPr>
          <w:rStyle w:val="ilad"/>
          <w:rFonts w:ascii="Georgia" w:hAnsi="Georgia"/>
          <w:noProof/>
          <w:sz w:val="20"/>
          <w:szCs w:val="20"/>
          <w:shd w:val="clear" w:color="auto" w:fill="FCF3EC"/>
          <w:lang/>
        </w:rPr>
        <w:t>morphology</w:t>
      </w:r>
      <w:r w:rsidRPr="000F1ABF">
        <w:rPr>
          <w:rStyle w:val="apple-converted-space"/>
          <w:rFonts w:ascii="Georgia" w:hAnsi="Georgia"/>
          <w:noProof/>
          <w:color w:val="4B2B18"/>
          <w:sz w:val="20"/>
          <w:szCs w:val="20"/>
          <w:shd w:val="clear" w:color="auto" w:fill="FCF3EC"/>
          <w:lang/>
        </w:rPr>
        <w:t> </w:t>
      </w:r>
      <w:r w:rsidRPr="000F1ABF">
        <w:rPr>
          <w:rStyle w:val="ilad"/>
          <w:rFonts w:ascii="Georgia" w:hAnsi="Georgia"/>
          <w:noProof/>
          <w:sz w:val="20"/>
          <w:szCs w:val="20"/>
          <w:shd w:val="clear" w:color="auto" w:fill="FCF3EC"/>
          <w:lang/>
        </w:rPr>
        <w:t>and function</w:t>
      </w:r>
      <w:r w:rsidRPr="000F1ABF">
        <w:rPr>
          <w:rFonts w:ascii="Georgia" w:hAnsi="Georgia"/>
          <w:noProof/>
          <w:color w:val="4B2B18"/>
          <w:sz w:val="20"/>
          <w:szCs w:val="20"/>
          <w:shd w:val="clear" w:color="auto" w:fill="FCF3EC"/>
          <w:lang/>
        </w:rPr>
        <w:t xml:space="preserve">, and compromise their clinical application for peripheral nerve regenerative cell therapy. These findings, published in </w:t>
      </w:r>
      <w:permStart w:id="0" w:edGrp="everyone"/>
      <w:permEnd w:id="0"/>
      <w:r w:rsidRPr="000F1ABF">
        <w:rPr>
          <w:rFonts w:ascii="Georgia" w:hAnsi="Georgia"/>
          <w:noProof/>
          <w:color w:val="4B2B18"/>
          <w:sz w:val="20"/>
          <w:szCs w:val="20"/>
          <w:shd w:val="clear" w:color="auto" w:fill="FCF3EC"/>
          <w:lang/>
        </w:rPr>
        <w:t>the</w:t>
      </w:r>
      <w:r w:rsidRPr="000F1ABF">
        <w:rPr>
          <w:rStyle w:val="apple-converted-space"/>
          <w:rFonts w:ascii="Georgia" w:hAnsi="Georgia"/>
          <w:noProof/>
          <w:color w:val="4B2B18"/>
          <w:sz w:val="20"/>
          <w:szCs w:val="20"/>
          <w:shd w:val="clear" w:color="auto" w:fill="FCF3EC"/>
          <w:lang/>
        </w:rPr>
        <w:t> </w:t>
      </w:r>
      <w:r w:rsidRPr="000F1ABF">
        <w:rPr>
          <w:rFonts w:ascii="Georgia" w:hAnsi="Georgia"/>
          <w:i/>
          <w:iCs/>
          <w:noProof/>
          <w:color w:val="4B2B18"/>
          <w:sz w:val="20"/>
          <w:szCs w:val="20"/>
          <w:shd w:val="clear" w:color="auto" w:fill="FCF3EC"/>
          <w:lang/>
        </w:rPr>
        <w:t>Neural</w:t>
      </w:r>
      <w:r w:rsidRPr="000F1ABF">
        <w:rPr>
          <w:rStyle w:val="apple-converted-space"/>
          <w:rFonts w:ascii="Georgia" w:hAnsi="Georgia"/>
          <w:i/>
          <w:iCs/>
          <w:noProof/>
          <w:color w:val="4B2B18"/>
          <w:sz w:val="20"/>
          <w:szCs w:val="20"/>
          <w:shd w:val="clear" w:color="auto" w:fill="FCF3EC"/>
          <w:lang/>
        </w:rPr>
        <w:t> </w:t>
      </w:r>
      <w:r w:rsidRPr="000F1ABF">
        <w:rPr>
          <w:rFonts w:ascii="Georgia" w:hAnsi="Georgia"/>
          <w:i/>
          <w:iCs/>
          <w:noProof/>
          <w:color w:val="4B2B18"/>
          <w:sz w:val="20"/>
          <w:szCs w:val="20"/>
          <w:shd w:val="clear" w:color="auto" w:fill="FCF3EC"/>
          <w:lang/>
        </w:rPr>
        <w:t>Regeneration</w:t>
      </w:r>
      <w:r w:rsidRPr="000F1ABF">
        <w:rPr>
          <w:rStyle w:val="apple-converted-space"/>
          <w:rFonts w:ascii="Georgia" w:hAnsi="Georgia"/>
          <w:i/>
          <w:iCs/>
          <w:noProof/>
          <w:color w:val="4B2B18"/>
          <w:sz w:val="20"/>
          <w:szCs w:val="20"/>
          <w:shd w:val="clear" w:color="auto" w:fill="FCF3EC"/>
          <w:lang/>
        </w:rPr>
        <w:t> </w:t>
      </w:r>
      <w:r w:rsidRPr="000F1ABF">
        <w:rPr>
          <w:rStyle w:val="ilad"/>
          <w:rFonts w:ascii="Georgia" w:hAnsi="Georgia"/>
          <w:i/>
          <w:iCs/>
          <w:noProof/>
          <w:color w:val="4B2B18"/>
          <w:sz w:val="20"/>
          <w:szCs w:val="20"/>
          <w:shd w:val="clear" w:color="auto" w:fill="FCF3EC"/>
          <w:lang/>
        </w:rPr>
        <w:t>Research</w:t>
      </w:r>
      <w:r w:rsidRPr="000F1ABF">
        <w:rPr>
          <w:rStyle w:val="apple-converted-space"/>
          <w:rFonts w:ascii="Georgia" w:hAnsi="Georgia"/>
          <w:noProof/>
          <w:color w:val="4B2B18"/>
          <w:sz w:val="20"/>
          <w:szCs w:val="20"/>
          <w:shd w:val="clear" w:color="auto" w:fill="FCF3EC"/>
          <w:lang/>
        </w:rPr>
        <w:t> </w:t>
      </w:r>
      <w:r w:rsidRPr="000F1ABF">
        <w:rPr>
          <w:rFonts w:ascii="Georgia" w:hAnsi="Georgia"/>
          <w:noProof/>
          <w:color w:val="4B2B18"/>
          <w:sz w:val="20"/>
          <w:szCs w:val="20"/>
          <w:shd w:val="clear" w:color="auto" w:fill="FCF3EC"/>
          <w:lang/>
        </w:rPr>
        <w:t>(Vol. 9, No. 1, 2014).</w:t>
      </w:r>
    </w:p>
    <w:p w:rsidR="00810DE3" w:rsidRDefault="00810DE3" w:rsidP="00810DE3">
      <w:pPr>
        <w:pStyle w:val="Heading2"/>
        <w:shd w:val="clear" w:color="auto" w:fill="FCF3EC"/>
        <w:spacing w:before="150" w:beforeAutospacing="0" w:after="150" w:afterAutospacing="0" w:line="240" w:lineRule="atLeast"/>
        <w:rPr>
          <w:rFonts w:ascii="Georgia" w:hAnsi="Georgia"/>
          <w:color w:val="4B2B18"/>
          <w:sz w:val="20"/>
          <w:szCs w:val="20"/>
          <w:shd w:val="clear" w:color="auto" w:fill="FCF3EC"/>
        </w:rPr>
      </w:pPr>
    </w:p>
    <w:p w:rsidR="00810DE3" w:rsidRPr="00810DE3" w:rsidRDefault="00810DE3" w:rsidP="00810DE3">
      <w:pPr>
        <w:pStyle w:val="Heading2"/>
        <w:shd w:val="clear" w:color="auto" w:fill="FCF3EC"/>
        <w:spacing w:before="150" w:beforeAutospacing="0" w:after="150" w:afterAutospacing="0" w:line="240" w:lineRule="atLeast"/>
        <w:rPr>
          <w:rFonts w:ascii="Georgia" w:hAnsi="Georgia"/>
          <w:b w:val="0"/>
          <w:bCs w:val="0"/>
          <w:color w:val="660033"/>
        </w:rPr>
      </w:pPr>
      <w:r>
        <w:rPr>
          <w:noProof/>
        </w:rPr>
        <w:drawing>
          <wp:inline distT="0" distB="0" distL="0" distR="0">
            <wp:extent cx="5977283" cy="4124325"/>
            <wp:effectExtent l="19050" t="0" r="4417" b="0"/>
            <wp:docPr id="1" name="Picture 1" descr="http://www.sciencecodex.com/aggregated-images/brain/e481dRedWL8675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codex.com/aggregated-images/brain/e481dRedWL8675Cf.jpg"/>
                    <pic:cNvPicPr>
                      <a:picLocks noChangeAspect="1" noChangeArrowheads="1"/>
                    </pic:cNvPicPr>
                  </pic:nvPicPr>
                  <pic:blipFill>
                    <a:blip r:embed="rId4"/>
                    <a:srcRect/>
                    <a:stretch>
                      <a:fillRect/>
                    </a:stretch>
                  </pic:blipFill>
                  <pic:spPr bwMode="auto">
                    <a:xfrm>
                      <a:off x="0" y="0"/>
                      <a:ext cx="5977283" cy="4124325"/>
                    </a:xfrm>
                    <a:prstGeom prst="rect">
                      <a:avLst/>
                    </a:prstGeom>
                    <a:noFill/>
                    <a:ln w="9525">
                      <a:noFill/>
                      <a:miter lim="800000"/>
                      <a:headEnd/>
                      <a:tailEnd/>
                    </a:ln>
                  </pic:spPr>
                </pic:pic>
              </a:graphicData>
            </a:graphic>
          </wp:inline>
        </w:drawing>
      </w:r>
    </w:p>
    <w:sectPr w:rsidR="00810DE3" w:rsidRPr="00810DE3" w:rsidSect="007442A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gzQLXUniTTp137bIsWvkibxRIk=" w:salt="P7IvYp9wzh+vi3DZ/0v+lg=="/>
  <w:defaultTabStop w:val="720"/>
  <w:characterSpacingControl w:val="doNotCompress"/>
  <w:compat>
    <w:useFELayout/>
  </w:compat>
  <w:rsids>
    <w:rsidRoot w:val="00810DE3"/>
    <w:rsid w:val="000F1ABF"/>
    <w:rsid w:val="007442AA"/>
    <w:rsid w:val="00810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AA"/>
  </w:style>
  <w:style w:type="paragraph" w:styleId="Heading2">
    <w:name w:val="heading 2"/>
    <w:basedOn w:val="Normal"/>
    <w:link w:val="Heading2Char"/>
    <w:uiPriority w:val="9"/>
    <w:qFormat/>
    <w:rsid w:val="00810D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0DE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810DE3"/>
  </w:style>
  <w:style w:type="character" w:customStyle="1" w:styleId="ilad">
    <w:name w:val="il_ad"/>
    <w:basedOn w:val="DefaultParagraphFont"/>
    <w:rsid w:val="00810DE3"/>
  </w:style>
  <w:style w:type="paragraph" w:styleId="BalloonText">
    <w:name w:val="Balloon Text"/>
    <w:basedOn w:val="Normal"/>
    <w:link w:val="BalloonTextChar"/>
    <w:uiPriority w:val="99"/>
    <w:semiHidden/>
    <w:unhideWhenUsed/>
    <w:rsid w:val="0081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D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951279">
      <w:bodyDiv w:val="1"/>
      <w:marLeft w:val="0"/>
      <w:marRight w:val="0"/>
      <w:marTop w:val="0"/>
      <w:marBottom w:val="0"/>
      <w:divBdr>
        <w:top w:val="none" w:sz="0" w:space="0" w:color="auto"/>
        <w:left w:val="none" w:sz="0" w:space="0" w:color="auto"/>
        <w:bottom w:val="none" w:sz="0" w:space="0" w:color="auto"/>
        <w:right w:val="none" w:sz="0" w:space="0" w:color="auto"/>
      </w:divBdr>
    </w:div>
    <w:div w:id="13315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985</Characters>
  <Application>Microsoft Office Word</Application>
  <DocSecurity>8</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2014-11-16T00:26:00Z</dcterms:created>
  <dcterms:modified xsi:type="dcterms:W3CDTF">2015-01-21T15:29:00Z</dcterms:modified>
</cp:coreProperties>
</file>